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附件二：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江西农业大学南昌商学院厚德楼AW304录播</w:t>
      </w: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教室使用规范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为了保证厚德楼AW304录播教室资产设备安全，合理高效使用录播教室资源，保证教学工作的顺利运行，特制定本使用规范：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1、本教室主要用于录制精品课程和重要会议，</w:t>
      </w:r>
      <w:r>
        <w:rPr>
          <w:rFonts w:hint="eastAsia" w:ascii="仿宋_GB2312" w:eastAsia="仿宋_GB2312"/>
          <w:sz w:val="30"/>
          <w:szCs w:val="30"/>
          <w:lang w:eastAsia="zh-CN"/>
        </w:rPr>
        <w:t>除被安排的课程外，其他需要借用情况请在</w:t>
      </w:r>
      <w:r>
        <w:rPr>
          <w:rFonts w:hint="eastAsia" w:ascii="仿宋_GB2312" w:eastAsia="仿宋_GB2312"/>
          <w:sz w:val="30"/>
          <w:szCs w:val="30"/>
        </w:rPr>
        <w:t>使用前提前向管理人员提出申请并</w:t>
      </w:r>
      <w:r>
        <w:rPr>
          <w:rFonts w:hint="eastAsia" w:ascii="仿宋_GB2312" w:eastAsia="仿宋_GB2312"/>
          <w:sz w:val="30"/>
          <w:szCs w:val="30"/>
          <w:lang w:eastAsia="zh-CN"/>
        </w:rPr>
        <w:t>填写共青录播教室借用单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2、教师必须经过培训或在教务部学生助理帮助下，熟练掌握录播设备操作方法后方可使用录播教室，并严格按照设备操作规范操作。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3、授课教师每次上课前，请检查设备是否完好，如有异常情况应及时报告管理人员或联系</w:t>
      </w:r>
      <w:r>
        <w:rPr>
          <w:rFonts w:hint="eastAsia" w:ascii="仿宋_GB2312" w:eastAsia="仿宋_GB2312"/>
          <w:sz w:val="30"/>
          <w:szCs w:val="30"/>
          <w:lang w:eastAsia="zh-CN"/>
        </w:rPr>
        <w:t>后台监控室</w:t>
      </w:r>
      <w:r>
        <w:rPr>
          <w:rFonts w:hint="eastAsia" w:ascii="仿宋_GB2312" w:eastAsia="仿宋_GB2312"/>
          <w:sz w:val="30"/>
          <w:szCs w:val="30"/>
        </w:rPr>
        <w:t>学生助理。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请爱护室内所有设备及物品，不得擅自改动仪器设备的连接线，不得擅自移动、接驳或拆卸任何仪器设备，严禁使用该设备从事与教学无关的活动。凡因违反操作规程而人为导致设备及物品损坏者，按学院有关管理规定赔偿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5、如果需要安装其它教学常用软件，请提前与管理员预约安装，未经允许，不得在计算机上安装其它应用软件；若使用U盘、移动硬盘等设备，须事先查杀病毒。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6、教师要教育学生爱护录播教室设施，未经许可，不得随意揿按各种开关，禁止学生到主控制台上进行任何操作。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7、凡在本教室上课的老师和学生须爱护教室的环境卫生，不得随地抛弃废物，不得带食物进入教室，不得在座位、课桌、装修墙壁等处刻画，下课后清理干净教室卫生</w:t>
      </w:r>
      <w:r>
        <w:rPr>
          <w:rFonts w:hint="eastAsia" w:ascii="仿宋_GB2312" w:eastAsia="仿宋_GB2312"/>
          <w:sz w:val="30"/>
          <w:szCs w:val="30"/>
          <w:lang w:eastAsia="zh-CN"/>
        </w:rPr>
        <w:t>并摆放好移动座椅</w:t>
      </w:r>
      <w:r>
        <w:rPr>
          <w:rFonts w:hint="eastAsia" w:ascii="仿宋_GB2312" w:eastAsia="仿宋_GB2312"/>
          <w:sz w:val="30"/>
          <w:szCs w:val="30"/>
        </w:rPr>
        <w:t>再离开，违者可严厉批评教育，授课教师应履行监督管理之责，否则对授课教师追责。</w:t>
      </w:r>
      <w:bookmarkStart w:id="0" w:name="_GoBack"/>
      <w:bookmarkEnd w:id="0"/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8、录播教室使用期间要全面做好安全防范工作，严禁携带易燃易爆物品进入录播室，注意防火、防盗和安全用电。授课教师要监督好本班学生，严禁教师和学生在教室吸烟。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9、录播课程结束后，授课教师应及时联系</w:t>
      </w:r>
      <w:r>
        <w:rPr>
          <w:rFonts w:hint="eastAsia" w:ascii="仿宋_GB2312" w:eastAsia="仿宋_GB2312"/>
          <w:sz w:val="30"/>
          <w:szCs w:val="30"/>
          <w:lang w:eastAsia="zh-CN"/>
        </w:rPr>
        <w:t>后台监控室</w:t>
      </w:r>
      <w:r>
        <w:rPr>
          <w:rFonts w:hint="eastAsia" w:ascii="仿宋_GB2312" w:eastAsia="仿宋_GB2312"/>
          <w:sz w:val="30"/>
          <w:szCs w:val="30"/>
        </w:rPr>
        <w:t>教务部学生助理将课程录像备份，以免数据丢失。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10、违反本使用规范者，教务部有权停止其使用教室，并按学院相关规定及各项评估指标处理。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11、本使用规范最终解释权归教务部。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管理人：徐昂，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联系电话：15179445699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widowControl/>
        <w:spacing w:line="520" w:lineRule="exact"/>
        <w:ind w:left="420" w:leftChars="200"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widowControl/>
        <w:spacing w:line="520" w:lineRule="exact"/>
        <w:ind w:left="420" w:leftChars="200"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江西农业大学南昌商学院教务部</w:t>
      </w:r>
    </w:p>
    <w:p>
      <w:pPr>
        <w:widowControl/>
        <w:spacing w:line="520" w:lineRule="exact"/>
        <w:ind w:right="640" w:firstLine="4800" w:firstLineChars="1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2019年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7日</w:t>
      </w:r>
    </w:p>
    <w:p>
      <w:pPr>
        <w:spacing w:line="240" w:lineRule="atLeas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9A"/>
    <w:rsid w:val="00093A8E"/>
    <w:rsid w:val="006C019A"/>
    <w:rsid w:val="00787BD8"/>
    <w:rsid w:val="0C3D68A4"/>
    <w:rsid w:val="101A0105"/>
    <w:rsid w:val="1CCC69E4"/>
    <w:rsid w:val="23940A37"/>
    <w:rsid w:val="25C44DF8"/>
    <w:rsid w:val="44E63C05"/>
    <w:rsid w:val="49FC5751"/>
    <w:rsid w:val="55231352"/>
    <w:rsid w:val="69611B7C"/>
    <w:rsid w:val="73404436"/>
    <w:rsid w:val="7B2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ascii="微软雅黑" w:hAnsi="微软雅黑" w:eastAsia="微软雅黑" w:cs="微软雅黑"/>
      <w:color w:val="3B3B3B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rFonts w:hint="eastAsia" w:ascii="微软雅黑" w:hAnsi="微软雅黑" w:eastAsia="微软雅黑" w:cs="微软雅黑"/>
      <w:color w:val="3B3B3B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column-name18"/>
    <w:basedOn w:val="4"/>
    <w:qFormat/>
    <w:uiPriority w:val="0"/>
    <w:rPr>
      <w:color w:val="0F429B"/>
    </w:rPr>
  </w:style>
  <w:style w:type="character" w:customStyle="1" w:styleId="16">
    <w:name w:val="news_meta"/>
    <w:basedOn w:val="4"/>
    <w:qFormat/>
    <w:uiPriority w:val="0"/>
    <w:rPr>
      <w:color w:val="9C9C9C"/>
    </w:rPr>
  </w:style>
  <w:style w:type="character" w:customStyle="1" w:styleId="17">
    <w:name w:val="pubdate-month"/>
    <w:basedOn w:val="4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8">
    <w:name w:val="item-name"/>
    <w:basedOn w:val="4"/>
    <w:qFormat/>
    <w:uiPriority w:val="0"/>
  </w:style>
  <w:style w:type="character" w:customStyle="1" w:styleId="19">
    <w:name w:val="item-name1"/>
    <w:basedOn w:val="4"/>
    <w:qFormat/>
    <w:uiPriority w:val="0"/>
  </w:style>
  <w:style w:type="character" w:customStyle="1" w:styleId="20">
    <w:name w:val="pubdate-day"/>
    <w:basedOn w:val="4"/>
    <w:qFormat/>
    <w:uiPriority w:val="0"/>
    <w:rPr>
      <w:shd w:val="clear" w:color="auto" w:fill="F2F2F2"/>
    </w:rPr>
  </w:style>
  <w:style w:type="character" w:customStyle="1" w:styleId="21">
    <w:name w:val="news_title10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127</Words>
  <Characters>725</Characters>
  <Lines>6</Lines>
  <Paragraphs>1</Paragraphs>
  <TotalTime>6</TotalTime>
  <ScaleCrop>false</ScaleCrop>
  <LinksUpToDate>false</LinksUpToDate>
  <CharactersWithSpaces>851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假东北</cp:lastModifiedBy>
  <dcterms:modified xsi:type="dcterms:W3CDTF">2019-12-17T07:53:37Z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